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47510C" w:rsidP="0047510C">
      <w:pPr>
        <w:spacing w:line="480" w:lineRule="auto"/>
        <w:jc w:val="center"/>
      </w:pPr>
    </w:p>
    <w:p w:rsidR="0080412D" w:rsidP="0047510C">
      <w:pPr>
        <w:spacing w:line="480" w:lineRule="auto"/>
        <w:jc w:val="center"/>
      </w:pPr>
      <w:r>
        <w:t>Analytical Procedures</w:t>
      </w:r>
    </w:p>
    <w:p w:rsidR="0047510C" w:rsidP="0047510C">
      <w:pPr>
        <w:spacing w:line="480" w:lineRule="auto"/>
        <w:jc w:val="center"/>
      </w:pPr>
      <w:r>
        <w:t>Student’s Name</w:t>
      </w:r>
    </w:p>
    <w:p w:rsidR="0047510C" w:rsidP="0047510C">
      <w:pPr>
        <w:spacing w:line="480" w:lineRule="auto"/>
        <w:jc w:val="center"/>
      </w:pPr>
      <w:r>
        <w:t>Institutional Affiliation</w:t>
      </w:r>
    </w:p>
    <w:p w:rsidR="0047510C" w:rsidRPr="0047510C" w:rsidP="0047510C"/>
    <w:p w:rsidR="0047510C" w:rsidRPr="0047510C" w:rsidP="0047510C"/>
    <w:p w:rsidR="0047510C" w:rsidRPr="0047510C" w:rsidP="0047510C"/>
    <w:p w:rsidR="0047510C" w:rsidRPr="0047510C" w:rsidP="0047510C"/>
    <w:p w:rsidR="0047510C" w:rsidP="0047510C"/>
    <w:p w:rsidR="0047510C" w:rsidP="0047510C"/>
    <w:p w:rsidR="0047510C" w:rsidP="0047510C"/>
    <w:p w:rsidR="0047510C" w:rsidP="0047510C"/>
    <w:p w:rsidR="0047510C" w:rsidP="00632958">
      <w:pPr>
        <w:spacing w:line="480" w:lineRule="auto"/>
        <w:jc w:val="center"/>
      </w:pPr>
      <w:r>
        <w:t>Analytical Procedures</w:t>
      </w:r>
    </w:p>
    <w:p w:rsidR="0047510C" w:rsidP="00632958">
      <w:pPr>
        <w:spacing w:line="480" w:lineRule="auto"/>
      </w:pPr>
      <w:r>
        <w:tab/>
        <w:t xml:space="preserve">The analytical procedures that will </w:t>
      </w:r>
      <w:r w:rsidR="00632958">
        <w:t xml:space="preserve">be used for the company will involve comparing depreciation expenditure of the current year and the previous years. In this regard, calculations will be made using the straight-line method that validates the correctness of 65% of the assets. </w:t>
      </w:r>
      <w:r w:rsidR="00070F87">
        <w:t>Undepreciated</w:t>
      </w:r>
      <w:r w:rsidR="00070F87">
        <w:t xml:space="preserve"> expenses will also be computed and compared with data obtained from previous years. Accumulated depreciation expenses will be calculated using the aforementioned method. Afterward, maintenance expenses will be compared to the earlier years and checks on whether they should be capitalized checked. Also, supplies' expenses will be compared with the earlier years, after which acquisition invoices will be verified for the current year. Acquisitions should be accounted for for the appropriate accounting period. Afterward, receipts will be verified for disposals for the current years, and the estimated salvage value justified. Besides, disposals will be accounted for the current financial year, after which </w:t>
      </w:r>
      <w:r w:rsidR="009A2571">
        <w:t>documents on equipment that is leased obtained for misclassification (</w:t>
      </w:r>
      <w:r w:rsidR="009A2571">
        <w:t>Arens</w:t>
      </w:r>
      <w:r w:rsidR="009A2571">
        <w:t>, Randal, &amp; Beasley, 201</w:t>
      </w:r>
      <w:r w:rsidR="00D908EA">
        <w:t>4)</w:t>
      </w:r>
      <w:r w:rsidR="009A2571">
        <w:t>. Obtaining these documents is essential since it will help the company determine whether the equipment is capitalized correctly. Lastly, excess expenditure will be tested for the projects that are in progress and the ones that have been closed in the current financial year.</w:t>
      </w:r>
    </w:p>
    <w:p w:rsidR="00D908EA" w:rsidP="00632958">
      <w:pPr>
        <w:spacing w:line="480" w:lineRule="auto"/>
      </w:pPr>
    </w:p>
    <w:p w:rsidR="00D908EA" w:rsidP="00632958">
      <w:pPr>
        <w:spacing w:line="480" w:lineRule="auto"/>
      </w:pPr>
    </w:p>
    <w:p w:rsidR="00D908EA" w:rsidP="00632958">
      <w:pPr>
        <w:spacing w:line="480" w:lineRule="auto"/>
      </w:pPr>
    </w:p>
    <w:p w:rsidR="00D908EA" w:rsidP="00632958">
      <w:pPr>
        <w:spacing w:line="480" w:lineRule="auto"/>
      </w:pPr>
    </w:p>
    <w:p w:rsidR="00D908EA" w:rsidP="00632958">
      <w:pPr>
        <w:spacing w:line="480" w:lineRule="auto"/>
      </w:pPr>
    </w:p>
    <w:p w:rsidR="00D908EA" w:rsidP="00D908EA">
      <w:pPr>
        <w:spacing w:line="480" w:lineRule="auto"/>
        <w:jc w:val="center"/>
      </w:pPr>
      <w:r>
        <w:t>Reference</w:t>
      </w:r>
    </w:p>
    <w:p w:rsidR="00D908EA" w:rsidRPr="00D908EA" w:rsidP="00D908EA">
      <w:pPr>
        <w:spacing w:line="480" w:lineRule="auto"/>
      </w:pPr>
      <w:r w:rsidRPr="00D908EA">
        <w:t>Arens</w:t>
      </w:r>
      <w:r w:rsidRPr="00D908EA">
        <w:t xml:space="preserve">, A.A., Randal, J.E., Beasley, M.S. (2014) Auditing and assurance services: An integrated </w:t>
      </w:r>
    </w:p>
    <w:p w:rsidR="00D908EA" w:rsidRPr="0047510C" w:rsidP="00D908EA">
      <w:pPr>
        <w:spacing w:line="480" w:lineRule="auto"/>
      </w:pPr>
      <w:r>
        <w:tab/>
      </w:r>
      <w:r w:rsidRPr="00D908EA">
        <w:t>approach</w:t>
      </w:r>
      <w:r w:rsidRPr="00D908EA">
        <w:t>.(</w:t>
      </w:r>
      <w:r w:rsidRPr="00D908EA">
        <w:t>15th ed.). Pearson. Upper Saddle River, New Jersey.</w:t>
      </w:r>
      <w:bookmarkStart w:id="0" w:name="_GoBack"/>
      <w:bookmarkEnd w:id="0"/>
    </w:p>
    <w:sectPr w:rsidSect="0047510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10C" w:rsidP="0047510C">
    <w:pPr>
      <w:pStyle w:val="Header"/>
    </w:pPr>
    <w:r>
      <w:t xml:space="preserve">ANALYTICAL PROCEDURES </w:t>
    </w:r>
    <w:r>
      <w:tab/>
    </w:r>
    <w:r>
      <w:tab/>
    </w:r>
    <w:r>
      <w:tab/>
    </w:r>
    <w:sdt>
      <w:sdtPr>
        <w:id w:val="11960413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08EA">
          <w:rPr>
            <w:noProof/>
          </w:rPr>
          <w:t>3</w:t>
        </w:r>
        <w:r>
          <w:rPr>
            <w:noProof/>
          </w:rPr>
          <w:fldChar w:fldCharType="end"/>
        </w:r>
      </w:sdtContent>
    </w:sdt>
  </w:p>
  <w:p w:rsidR="00475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10C" w:rsidP="0047510C">
    <w:pPr>
      <w:pStyle w:val="Header"/>
    </w:pPr>
    <w:r>
      <w:t xml:space="preserve">Running head: ANALYTICAL PROCEDURES </w:t>
    </w:r>
    <w:r>
      <w:tab/>
    </w:r>
    <w:r>
      <w:tab/>
    </w:r>
    <w:sdt>
      <w:sdtPr>
        <w:id w:val="16706010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2958">
          <w:rPr>
            <w:noProof/>
          </w:rPr>
          <w:t>1</w:t>
        </w:r>
        <w:r>
          <w:rPr>
            <w:noProof/>
          </w:rPr>
          <w:fldChar w:fldCharType="end"/>
        </w:r>
      </w:sdtContent>
    </w:sdt>
  </w:p>
  <w:p w:rsidR="00475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10C"/>
    <w:rsid w:val="00070F87"/>
    <w:rsid w:val="001D2666"/>
    <w:rsid w:val="0047510C"/>
    <w:rsid w:val="00632958"/>
    <w:rsid w:val="0080412D"/>
    <w:rsid w:val="009A2571"/>
    <w:rsid w:val="00A27627"/>
    <w:rsid w:val="00BA4BED"/>
    <w:rsid w:val="00BD4F4E"/>
    <w:rsid w:val="00D908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10C"/>
  </w:style>
  <w:style w:type="paragraph" w:styleId="Footer">
    <w:name w:val="footer"/>
    <w:basedOn w:val="Normal"/>
    <w:link w:val="FooterChar"/>
    <w:uiPriority w:val="99"/>
    <w:unhideWhenUsed/>
    <w:rsid w:val="00475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2020-02-09T16:17:00Z</dcterms:created>
  <dcterms:modified xsi:type="dcterms:W3CDTF">2020-02-09T17:45:00Z</dcterms:modified>
</cp:coreProperties>
</file>